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  <w:bookmarkStart w:id="0" w:name="_Toc517372547"/>
      <w:r>
        <w:rPr>
          <w:rFonts w:hint="eastAsia"/>
        </w:rPr>
        <w:t>编号：</w:t>
      </w:r>
      <w:r>
        <w:t>AF/SQ-0</w:t>
      </w:r>
      <w:bookmarkStart w:id="1" w:name="_GoBack"/>
      <w:bookmarkEnd w:id="1"/>
      <w:r>
        <w:rPr>
          <w:rFonts w:hint="eastAsia"/>
          <w:lang w:val="en-US" w:eastAsia="zh-CN"/>
        </w:rPr>
        <w:t>7</w:t>
      </w:r>
      <w:r>
        <w:t>/0</w:t>
      </w:r>
      <w:r>
        <w:rPr>
          <w:rFonts w:hint="eastAsia"/>
          <w:lang w:val="en-US" w:eastAsia="zh-CN"/>
        </w:rPr>
        <w:t>4.0</w:t>
      </w:r>
    </w:p>
    <w:bookmarkEnd w:id="0"/>
    <w:p>
      <w:pPr>
        <w:spacing w:line="30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SAE汇总报告表</w:t>
      </w:r>
    </w:p>
    <w:tbl>
      <w:tblPr>
        <w:tblStyle w:val="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99"/>
        <w:gridCol w:w="981"/>
        <w:gridCol w:w="1570"/>
        <w:gridCol w:w="426"/>
        <w:gridCol w:w="992"/>
        <w:gridCol w:w="433"/>
        <w:gridCol w:w="139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SAE事件名称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发生时间</w:t>
            </w: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事件转归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相关性判断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报告人签字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受理人签字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both"/>
      <w:textAlignment w:val="auto"/>
      <w:rPr>
        <w:rFonts w:hint="eastAsia" w:eastAsia="宋体"/>
        <w:lang w:eastAsia="zh-CN"/>
      </w:rPr>
    </w:pPr>
    <w:r>
      <w:rPr>
        <w:rFonts w:hint="eastAsia" w:ascii="宋体" w:hAnsi="宋体" w:eastAsia="宋体" w:cs="宋体"/>
        <w:color w:val="000000"/>
        <w:sz w:val="18"/>
        <w:szCs w:val="18"/>
      </w:rPr>
      <w:t>SAE汇总报告表</w:t>
    </w:r>
    <w:r>
      <w:rPr>
        <w:rFonts w:hint="eastAsia" w:ascii="宋体" w:hAnsi="宋体" w:cs="宋体"/>
        <w:color w:val="000000"/>
        <w:sz w:val="18"/>
        <w:szCs w:val="18"/>
        <w:lang w:val="en-US" w:eastAsia="zh-CN"/>
      </w:rPr>
      <w:t xml:space="preserve">                                                                  </w:t>
    </w:r>
    <w:r>
      <w:rPr>
        <w:sz w:val="18"/>
        <w:szCs w:val="18"/>
      </w:rPr>
      <w:t>AF/SQ-0</w:t>
    </w:r>
    <w:r>
      <w:rPr>
        <w:rFonts w:hint="eastAsia"/>
        <w:sz w:val="18"/>
        <w:szCs w:val="18"/>
        <w:lang w:val="en-US" w:eastAsia="zh-CN"/>
      </w:rPr>
      <w:t>7</w:t>
    </w:r>
    <w:r>
      <w:rPr>
        <w:sz w:val="18"/>
        <w:szCs w:val="18"/>
      </w:rPr>
      <w:t>/0</w:t>
    </w:r>
    <w:r>
      <w:rPr>
        <w:rFonts w:hint="eastAsia"/>
        <w:sz w:val="18"/>
        <w:szCs w:val="18"/>
        <w:lang w:val="en-US" w:eastAsia="zh-CN"/>
      </w:rPr>
      <w:t>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17E"/>
    <w:rsid w:val="01533224"/>
    <w:rsid w:val="0C7D114E"/>
    <w:rsid w:val="0D5853B7"/>
    <w:rsid w:val="0E8E1362"/>
    <w:rsid w:val="10897495"/>
    <w:rsid w:val="30040379"/>
    <w:rsid w:val="3AEF6B62"/>
    <w:rsid w:val="3B1D617E"/>
    <w:rsid w:val="6E5E4AA0"/>
    <w:rsid w:val="7A6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qFormat/>
    <w:uiPriority w:val="0"/>
    <w:pPr>
      <w:jc w:val="center"/>
    </w:pPr>
    <w:rPr>
      <w:b/>
      <w:bCs/>
    </w:rPr>
  </w:style>
  <w:style w:type="paragraph" w:customStyle="1" w:styleId="10">
    <w:name w:val="SOP正文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2019-08-31T23:49:00Z</dcterms:created>
  <dc:creator>ASUS</dc:creator>
  <cp:lastModifiedBy>DELL</cp:lastModifiedBy>
  <dcterms:modified xsi:type="dcterms:W3CDTF">2020-12-02T03:10:22Z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